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5834"/>
        <w:gridCol w:w="1520"/>
      </w:tblGrid>
      <w:tr w:rsidR="006131DF" w:rsidRPr="007B4B87" w:rsidTr="001D7D2C">
        <w:trPr>
          <w:trHeight w:val="1188"/>
        </w:trPr>
        <w:tc>
          <w:tcPr>
            <w:tcW w:w="2280" w:type="dxa"/>
          </w:tcPr>
          <w:p w:rsidR="006131DF" w:rsidRPr="007B4B87" w:rsidRDefault="006131DF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</w:p>
          <w:p w:rsidR="006131DF" w:rsidRPr="007B4B87" w:rsidRDefault="006131DF" w:rsidP="001D7D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inline distT="0" distB="0" distL="0" distR="0" wp14:anchorId="31AD3399" wp14:editId="5CA1304C">
                  <wp:extent cx="1311215" cy="424941"/>
                  <wp:effectExtent l="0" t="0" r="0" b="0"/>
                  <wp:docPr id="2" name="Picture 2" descr="C:\Users\moins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ins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258" cy="4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4" w:type="dxa"/>
          </w:tcPr>
          <w:p w:rsidR="006131DF" w:rsidRPr="007B4B87" w:rsidRDefault="006131DF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SGVU Biotechnology Business Incubator (SGVU-BBI)</w:t>
            </w:r>
          </w:p>
          <w:p w:rsidR="006131DF" w:rsidRPr="007B4B87" w:rsidRDefault="006131DF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Suresh Gyan Vihar University, Jaipur</w:t>
            </w:r>
          </w:p>
          <w:p w:rsidR="006131DF" w:rsidRPr="007B4B87" w:rsidRDefault="006131DF" w:rsidP="001D7D2C">
            <w:pPr>
              <w:jc w:val="center"/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/>
              </w:rPr>
              <w:t>(Sponsored by DST-Rajasthan)</w:t>
            </w:r>
          </w:p>
        </w:tc>
        <w:tc>
          <w:tcPr>
            <w:tcW w:w="1520" w:type="dxa"/>
          </w:tcPr>
          <w:p w:rsidR="006131DF" w:rsidRPr="007B4B87" w:rsidRDefault="006131DF" w:rsidP="001D7D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7B4B87">
              <w:rPr>
                <w:rFonts w:ascii="Bookman Old Style" w:hAnsi="Bookman Old Style" w:cs="Times New Roman"/>
                <w:b/>
                <w:noProof/>
                <w:sz w:val="24"/>
                <w:szCs w:val="24"/>
                <w:lang w:eastAsia="en-IN" w:bidi="hi-IN"/>
              </w:rPr>
              <w:drawing>
                <wp:anchor distT="0" distB="0" distL="114300" distR="114300" simplePos="0" relativeHeight="251659264" behindDoc="0" locked="0" layoutInCell="1" allowOverlap="1" wp14:anchorId="2EC6CAE6" wp14:editId="1B6293A0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71120</wp:posOffset>
                  </wp:positionV>
                  <wp:extent cx="828040" cy="84518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j-gov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131DF" w:rsidRPr="007B4B87" w:rsidRDefault="006131DF" w:rsidP="006131DF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63233" wp14:editId="61809688">
                <wp:simplePos x="0" y="0"/>
                <wp:positionH relativeFrom="column">
                  <wp:posOffset>-6350</wp:posOffset>
                </wp:positionH>
                <wp:positionV relativeFrom="paragraph">
                  <wp:posOffset>-106944</wp:posOffset>
                </wp:positionV>
                <wp:extent cx="6124575" cy="45085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4508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FB3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5pt;margin-top:-8.4pt;width:482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" strokecolor="black [3213]" strokeweight="1.5pt"/>
            </w:pict>
          </mc:Fallback>
        </mc:AlternateContent>
      </w:r>
    </w:p>
    <w:p w:rsidR="0066399C" w:rsidRPr="00207A89" w:rsidRDefault="0066399C" w:rsidP="006639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207A89">
        <w:rPr>
          <w:rFonts w:ascii="Times New Roman" w:hAnsi="Times New Roman" w:cs="Times New Roman"/>
          <w:b/>
          <w:bCs/>
          <w:sz w:val="32"/>
          <w:szCs w:val="32"/>
        </w:rPr>
        <w:t>Policy and Procedure</w:t>
      </w:r>
    </w:p>
    <w:p w:rsidR="0066399C" w:rsidRPr="009B11CF" w:rsidRDefault="0066399C" w:rsidP="006639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399C" w:rsidRPr="009B11CF" w:rsidRDefault="0066399C" w:rsidP="0066399C">
      <w:pPr>
        <w:jc w:val="both"/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The goal of SGVU Biotechnology Business Incubator (SGVU</w:t>
      </w:r>
      <w:r>
        <w:rPr>
          <w:rFonts w:ascii="Times New Roman" w:hAnsi="Times New Roman" w:cs="Times New Roman"/>
        </w:rPr>
        <w:t>-</w:t>
      </w:r>
      <w:r w:rsidRPr="009B11CF">
        <w:rPr>
          <w:rFonts w:ascii="Times New Roman" w:hAnsi="Times New Roman" w:cs="Times New Roman"/>
        </w:rPr>
        <w:t>BBI) at Suresh Gyan Vihar University is to promote technology based entrepreneurship and thereby facilitate practical application of knowledge for public use.</w:t>
      </w:r>
    </w:p>
    <w:p w:rsidR="0066399C" w:rsidRPr="009B11CF" w:rsidRDefault="0066399C" w:rsidP="0066399C">
      <w:pPr>
        <w:jc w:val="both"/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 xml:space="preserve">The Bio-incubator at Suresh Gyan Vihar University offers a whole gamut of incubation facilities and services to the prospective entrepreneurs and </w:t>
      </w:r>
      <w:proofErr w:type="spellStart"/>
      <w:r w:rsidRPr="009B11CF">
        <w:rPr>
          <w:rFonts w:ascii="Times New Roman" w:hAnsi="Times New Roman" w:cs="Times New Roman"/>
        </w:rPr>
        <w:t>intrapreneurs</w:t>
      </w:r>
      <w:proofErr w:type="spellEnd"/>
      <w:r w:rsidRPr="009B11CF">
        <w:rPr>
          <w:rFonts w:ascii="Times New Roman" w:hAnsi="Times New Roman" w:cs="Times New Roman"/>
        </w:rPr>
        <w:t xml:space="preserve"> to convert their innovative ideas into commercially viable products. It incubates ventures in biotechnology, </w:t>
      </w:r>
      <w:proofErr w:type="gramStart"/>
      <w:r w:rsidRPr="009B11CF">
        <w:rPr>
          <w:rFonts w:ascii="Times New Roman" w:hAnsi="Times New Roman" w:cs="Times New Roman"/>
        </w:rPr>
        <w:t>Agricultural ,pharmaceuticals</w:t>
      </w:r>
      <w:proofErr w:type="gramEnd"/>
      <w:r w:rsidRPr="009B11CF">
        <w:rPr>
          <w:rFonts w:ascii="Times New Roman" w:hAnsi="Times New Roman" w:cs="Times New Roman"/>
        </w:rPr>
        <w:t xml:space="preserve"> and other related areas. Regular events like entrepreneurial talk series, workshops and seminars have offered Bio-incubator a good interface and visibility in the region.</w:t>
      </w:r>
    </w:p>
    <w:p w:rsidR="0066399C" w:rsidRPr="009B11CF" w:rsidRDefault="0066399C" w:rsidP="0066399C">
      <w:pPr>
        <w:jc w:val="both"/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SGVU</w:t>
      </w:r>
      <w:r>
        <w:rPr>
          <w:rFonts w:ascii="Times New Roman" w:hAnsi="Times New Roman" w:cs="Times New Roman"/>
        </w:rPr>
        <w:t>-</w:t>
      </w:r>
      <w:r w:rsidRPr="009B11CF">
        <w:rPr>
          <w:rFonts w:ascii="Times New Roman" w:hAnsi="Times New Roman" w:cs="Times New Roman"/>
        </w:rPr>
        <w:t>BBI provides a thriving ecosystem, conducive for the growth of startups, which comprises:</w:t>
      </w:r>
    </w:p>
    <w:p w:rsidR="0066399C" w:rsidRPr="009B11CF" w:rsidRDefault="0066399C" w:rsidP="0066399C">
      <w:pPr>
        <w:jc w:val="both"/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World class Infrastructure</w:t>
      </w:r>
    </w:p>
    <w:p w:rsidR="0066399C" w:rsidRPr="009B11CF" w:rsidRDefault="0066399C" w:rsidP="0066399C">
      <w:pPr>
        <w:jc w:val="both"/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Excellent support services including the mentor and funding support</w:t>
      </w:r>
    </w:p>
    <w:p w:rsidR="0066399C" w:rsidRPr="009B11CF" w:rsidRDefault="0066399C" w:rsidP="0066399C">
      <w:pPr>
        <w:jc w:val="both"/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Student-run clubs and activities</w:t>
      </w:r>
    </w:p>
    <w:p w:rsidR="0066399C" w:rsidRPr="009B11CF" w:rsidRDefault="0066399C" w:rsidP="0066399C">
      <w:pPr>
        <w:jc w:val="both"/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Events and networking opportunities</w:t>
      </w:r>
    </w:p>
    <w:p w:rsidR="0066399C" w:rsidRPr="009B11CF" w:rsidRDefault="0066399C" w:rsidP="0066399C">
      <w:pPr>
        <w:jc w:val="both"/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IP and technology transfer cell</w:t>
      </w:r>
    </w:p>
    <w:p w:rsidR="0066399C" w:rsidRPr="009B11CF" w:rsidRDefault="0066399C" w:rsidP="0066399C">
      <w:pPr>
        <w:jc w:val="both"/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 xml:space="preserve">To this end, </w:t>
      </w:r>
      <w:r>
        <w:rPr>
          <w:rFonts w:ascii="Times New Roman" w:hAnsi="Times New Roman" w:cs="Times New Roman"/>
        </w:rPr>
        <w:t>SGVU-BBI</w:t>
      </w:r>
      <w:r w:rsidRPr="009B11CF">
        <w:rPr>
          <w:rFonts w:ascii="Times New Roman" w:hAnsi="Times New Roman" w:cs="Times New Roman"/>
        </w:rPr>
        <w:t xml:space="preserve"> has adopted this Incubation Policy to provide guidance and management structure to facilitate the development of entrepreneurship.</w:t>
      </w:r>
    </w:p>
    <w:p w:rsidR="0066399C" w:rsidRPr="009B11CF" w:rsidRDefault="0066399C" w:rsidP="0066399C">
      <w:pPr>
        <w:jc w:val="both"/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The scope of this document is to define the policies and procedures for the operational matters related to the SGVU Biotechnology Business   Incubator (</w:t>
      </w:r>
      <w:r>
        <w:rPr>
          <w:rFonts w:ascii="Times New Roman" w:hAnsi="Times New Roman" w:cs="Times New Roman"/>
        </w:rPr>
        <w:t>SGVU-BBI</w:t>
      </w:r>
      <w:r w:rsidRPr="009B11CF">
        <w:rPr>
          <w:rFonts w:ascii="Times New Roman" w:hAnsi="Times New Roman" w:cs="Times New Roman"/>
        </w:rPr>
        <w:t xml:space="preserve">) at Suresh </w:t>
      </w:r>
      <w:proofErr w:type="gramStart"/>
      <w:r w:rsidRPr="009B11CF">
        <w:rPr>
          <w:rFonts w:ascii="Times New Roman" w:hAnsi="Times New Roman" w:cs="Times New Roman"/>
        </w:rPr>
        <w:t>Gyan  Vihar</w:t>
      </w:r>
      <w:proofErr w:type="gramEnd"/>
      <w:r w:rsidRPr="009B11CF">
        <w:rPr>
          <w:rFonts w:ascii="Times New Roman" w:hAnsi="Times New Roman" w:cs="Times New Roman"/>
        </w:rPr>
        <w:t xml:space="preserve"> University  . It covers the following processes: 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Eligibility</w:t>
      </w:r>
    </w:p>
    <w:p w:rsidR="0066399C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Admission procedure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Incubation Eligibility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Infrastructure and Services provided to incubate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 xml:space="preserve">Mandatory Mentorship          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Period of Incubation/ Exit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lastRenderedPageBreak/>
        <w:t>Intellectual Property Evaluation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Seed Funding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Periodic Assessment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Consideration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Conflicts of interest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Disclaimer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Agreements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Special provision for Pharma &amp; Biotech companies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 xml:space="preserve">The policy is subject to periodical review and amendments. It will be the responsibility of the companies admitted to </w:t>
      </w:r>
      <w:r>
        <w:rPr>
          <w:rFonts w:ascii="Times New Roman" w:hAnsi="Times New Roman" w:cs="Times New Roman"/>
        </w:rPr>
        <w:t>SGVU-BBI</w:t>
      </w:r>
      <w:r w:rsidRPr="009B11CF">
        <w:rPr>
          <w:rFonts w:ascii="Times New Roman" w:hAnsi="Times New Roman" w:cs="Times New Roman"/>
        </w:rPr>
        <w:t xml:space="preserve"> to update themselves from time to time on amendments in the Incubation policy and procedures.</w:t>
      </w:r>
    </w:p>
    <w:p w:rsidR="0066399C" w:rsidRPr="009B11CF" w:rsidRDefault="0066399C" w:rsidP="0066399C">
      <w:pPr>
        <w:rPr>
          <w:rFonts w:ascii="Times New Roman" w:hAnsi="Times New Roman" w:cs="Times New Roman"/>
        </w:rPr>
      </w:pPr>
    </w:p>
    <w:p w:rsidR="0066399C" w:rsidRPr="009B11CF" w:rsidRDefault="0066399C" w:rsidP="0066399C">
      <w:pPr>
        <w:rPr>
          <w:rFonts w:ascii="Times New Roman" w:hAnsi="Times New Roman" w:cs="Times New Roman"/>
        </w:rPr>
      </w:pPr>
      <w:r w:rsidRPr="009B11CF">
        <w:rPr>
          <w:rFonts w:ascii="Times New Roman" w:hAnsi="Times New Roman" w:cs="Times New Roman"/>
        </w:rPr>
        <w:t>Suresh Gyan Vihar University reserves the rights to make an exception of all or any of the terms of the policy for a particular company or a promoter on a case to case basis.</w:t>
      </w:r>
    </w:p>
    <w:p w:rsidR="00A81B6A" w:rsidRDefault="00A81B6A"/>
    <w:sectPr w:rsidR="00A81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9C"/>
    <w:rsid w:val="006131DF"/>
    <w:rsid w:val="0066399C"/>
    <w:rsid w:val="00A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C858F-C71E-48C6-80E7-57DDE8D8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9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1DF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ali</dc:creator>
  <cp:keywords/>
  <dc:description/>
  <cp:lastModifiedBy>irfan ali</cp:lastModifiedBy>
  <cp:revision>2</cp:revision>
  <dcterms:created xsi:type="dcterms:W3CDTF">2019-03-02T08:52:00Z</dcterms:created>
  <dcterms:modified xsi:type="dcterms:W3CDTF">2019-03-02T08:53:00Z</dcterms:modified>
</cp:coreProperties>
</file>